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&lt;!-- BIDBOOK ITB AUTO-AGGREGATE INFOGRAPHIC - RESPONSIVE EMBED --&gt;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&lt;div style="max-width: 620px; margin: 40px auto; border: 1px solid #e5e7eb; border-radius: 24px; overflow: hidden; box-shadow: 0 25px 50px -12px rgb(0 0 0 / 0.15); background: white;"&gt;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&lt;!-- Infographic Image --&gt;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&lt;div style="position: relative; width: 100%; padding-top: 142%; overflow: hidden;"&gt;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&lt;img src="https://bidbooksoft.com/wp-content/uploads/2026/04/infographic-itb-auto-aggregate-scaled.png"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alt="ITB Auto-Aggregate Infographic by BidBook CRM - From scattered invitations to a single Bid Log"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style="position: absolute; top: 0; left: 0; width: 100%; height: 100%; object-fit: contain; display: block;"&gt;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&lt;/div&gt;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&lt;!-- Attribution Footer --&gt;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&lt;div style="padding: 20px 24px; background: #0a2540; color: white; text-align: center; font-family: system-ui, sans-serif;"&gt;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&lt;p style="margin: 0 0 8px 0; font-size: 15px; line-height: 1.5;"&gt;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Powered by &lt;strong&gt;BidBook CRM&lt;/strong&gt; — Automatic aggregation of Invitations to Bid from 20+ platforms into one centralized Bid Log.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&lt;/p&gt;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&lt;a href="https://www.bidbooksoft.com/infographic/itb-auto-aggregate"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target="_blank"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style="color: #f97316; text-decoration: none; font-weight: 600; font-size: 15px;"&gt;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Learn how BidBook automatically organizes your ITBs →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&lt;/a&gt;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&lt;/div&gt;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&lt;!-- End BidBook Responsive Embed --&gt;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